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E95D" w14:textId="77777777" w:rsidR="00FD12C6" w:rsidRPr="004D285E" w:rsidRDefault="00FD12C6" w:rsidP="00FD12C6">
      <w:pPr>
        <w:pStyle w:val="Heading2"/>
        <w:rPr>
          <w:rFonts w:cs="Times New Roman"/>
          <w:color w:val="000000" w:themeColor="text1"/>
          <w:szCs w:val="24"/>
        </w:rPr>
      </w:pPr>
      <w:bookmarkStart w:id="0" w:name="_Toc76208209"/>
      <w:r w:rsidRPr="004D285E">
        <w:rPr>
          <w:rFonts w:cs="Times New Roman"/>
          <w:szCs w:val="24"/>
        </w:rPr>
        <w:t>Policy#107 Prior Experience/Transfer Credit/Credit for Exam</w:t>
      </w:r>
      <w:bookmarkEnd w:id="0"/>
      <w:r w:rsidRPr="004D285E">
        <w:rPr>
          <w:rFonts w:cs="Times New Roman"/>
          <w:szCs w:val="24"/>
        </w:rPr>
        <w:t xml:space="preserve"> </w:t>
      </w:r>
    </w:p>
    <w:p w14:paraId="71343DEB" w14:textId="77777777" w:rsidR="00FD12C6" w:rsidRPr="004D285E" w:rsidRDefault="00FD12C6" w:rsidP="00FD12C6">
      <w:pPr>
        <w:pStyle w:val="Title"/>
        <w:pBdr>
          <w:bottom w:val="single" w:sz="48" w:space="4" w:color="4472C4" w:themeColor="accent1"/>
        </w:pBdr>
        <w:rPr>
          <w:rFonts w:ascii="Times New Roman" w:hAnsi="Times New Roman" w:cs="Times New Roman"/>
          <w:b w:val="0"/>
          <w:sz w:val="24"/>
          <w:szCs w:val="24"/>
        </w:rPr>
      </w:pPr>
    </w:p>
    <w:p w14:paraId="7C3855DB" w14:textId="77777777" w:rsidR="00FD12C6" w:rsidRPr="004D285E" w:rsidRDefault="00FD12C6" w:rsidP="00FD12C6">
      <w:pPr>
        <w:pStyle w:val="Title"/>
        <w:pBdr>
          <w:bottom w:val="single" w:sz="48" w:space="4" w:color="4472C4" w:themeColor="accent1"/>
        </w:pBdr>
        <w:rPr>
          <w:rFonts w:ascii="Times New Roman" w:hAnsi="Times New Roman" w:cs="Times New Roman"/>
          <w:sz w:val="24"/>
          <w:szCs w:val="24"/>
        </w:rPr>
      </w:pPr>
      <w:r w:rsidRPr="004D285E">
        <w:rPr>
          <w:rFonts w:ascii="Times New Roman" w:hAnsi="Times New Roman" w:cs="Times New Roman"/>
          <w:sz w:val="24"/>
          <w:szCs w:val="24"/>
        </w:rPr>
        <w:t>Date written: 10-2020       Date reviewed: 06-2021                Date Revised: 06-2021</w:t>
      </w:r>
    </w:p>
    <w:p w14:paraId="1842AB92" w14:textId="77777777" w:rsidR="00FD12C6" w:rsidRPr="004D285E" w:rsidRDefault="00FD12C6" w:rsidP="00FD12C6">
      <w:pPr>
        <w:pStyle w:val="Title"/>
        <w:pBdr>
          <w:bottom w:val="single" w:sz="48" w:space="4" w:color="4472C4" w:themeColor="accent1"/>
        </w:pBdr>
        <w:rPr>
          <w:rFonts w:ascii="Times New Roman" w:hAnsi="Times New Roman" w:cs="Times New Roman"/>
          <w:sz w:val="24"/>
          <w:szCs w:val="24"/>
        </w:rPr>
      </w:pPr>
    </w:p>
    <w:p w14:paraId="50BCC100" w14:textId="77777777" w:rsidR="00FD12C6" w:rsidRPr="004D285E" w:rsidRDefault="00FD12C6" w:rsidP="00FD12C6">
      <w:pPr>
        <w:pStyle w:val="Title"/>
        <w:pBdr>
          <w:bottom w:val="single" w:sz="48" w:space="4" w:color="4472C4" w:themeColor="accent1"/>
        </w:pBdr>
        <w:rPr>
          <w:rFonts w:ascii="Times New Roman" w:hAnsi="Times New Roman" w:cs="Times New Roman"/>
          <w:sz w:val="24"/>
          <w:szCs w:val="24"/>
        </w:rPr>
      </w:pPr>
      <w:r w:rsidRPr="004D285E">
        <w:rPr>
          <w:rFonts w:ascii="Times New Roman" w:hAnsi="Times New Roman" w:cs="Times New Roman"/>
          <w:sz w:val="24"/>
          <w:szCs w:val="24"/>
        </w:rPr>
        <w:t xml:space="preserve">Reference: </w:t>
      </w:r>
      <w:r w:rsidRPr="004D285E">
        <w:rPr>
          <w:rFonts w:ascii="Times New Roman" w:hAnsi="Times New Roman" w:cs="Times New Roman"/>
          <w:b w:val="0"/>
          <w:bCs/>
          <w:color w:val="000000" w:themeColor="text1"/>
          <w:sz w:val="24"/>
          <w:szCs w:val="24"/>
        </w:rPr>
        <w:t>California Code of Regulation 1430</w:t>
      </w:r>
    </w:p>
    <w:p w14:paraId="74450958" w14:textId="77777777" w:rsidR="00FD12C6" w:rsidRPr="004D285E" w:rsidRDefault="00FD12C6" w:rsidP="00FD12C6">
      <w:pPr>
        <w:rPr>
          <w:rFonts w:eastAsia="Times"/>
          <w:b/>
          <w:color w:val="000000" w:themeColor="text1"/>
          <w:lang w:val="en"/>
        </w:rPr>
      </w:pPr>
      <w:r w:rsidRPr="004D285E">
        <w:rPr>
          <w:rFonts w:eastAsia="Times"/>
          <w:b/>
          <w:color w:val="000000" w:themeColor="text1"/>
          <w:lang w:val="en"/>
        </w:rPr>
        <w:t>Policy Purpose:</w:t>
      </w:r>
    </w:p>
    <w:p w14:paraId="178467D6" w14:textId="77777777" w:rsidR="00FD12C6" w:rsidRPr="004D285E" w:rsidRDefault="00FD12C6" w:rsidP="00FD12C6">
      <w:r w:rsidRPr="004D285E">
        <w:t xml:space="preserve">To maintain compliance with CCR1430; </w:t>
      </w:r>
      <w:r w:rsidRPr="004D285E">
        <w:rPr>
          <w:color w:val="212121"/>
          <w:shd w:val="clear" w:color="auto" w:fill="FFFFFF"/>
        </w:rPr>
        <w:t>An approved nursing program shall have a process for a student to obtain credit for previous education or for other acquired knowledge in the field of nursing, including military education and experience, through equivalence, challenge examinations, or other methods of evaluation. The program shall make the information available in published documents, such as college catalog or student handbook, and online.</w:t>
      </w:r>
    </w:p>
    <w:p w14:paraId="4D9041C0" w14:textId="77777777" w:rsidR="00FD12C6" w:rsidRPr="004D285E" w:rsidRDefault="00FD12C6" w:rsidP="00FD12C6">
      <w:pPr>
        <w:spacing w:after="300" w:line="312" w:lineRule="atLeast"/>
      </w:pPr>
      <w:r w:rsidRPr="004D285E">
        <w:t>At Westmont a student may receive up to 32 semester hours of credit for learning demonstrated by taking a comprehensive examination. A student will be given credit for any GE areas as appropriate unless noted below.</w:t>
      </w:r>
    </w:p>
    <w:p w14:paraId="323747C1" w14:textId="77777777" w:rsidR="00FD12C6" w:rsidRPr="004D285E" w:rsidRDefault="00FD12C6" w:rsidP="00FD12C6">
      <w:pPr>
        <w:spacing w:after="300" w:line="312" w:lineRule="atLeast"/>
      </w:pPr>
      <w:r w:rsidRPr="004D285E">
        <w:rPr>
          <w:b/>
        </w:rPr>
        <w:t>Procedure:</w:t>
      </w:r>
      <w:r w:rsidRPr="004D285E">
        <w:t xml:space="preserve">  Westmont grants credit to students for:</w:t>
      </w:r>
    </w:p>
    <w:p w14:paraId="0DC88B43" w14:textId="77777777" w:rsidR="00FD12C6" w:rsidRPr="004D285E" w:rsidRDefault="00FD12C6" w:rsidP="00FD12C6">
      <w:pPr>
        <w:numPr>
          <w:ilvl w:val="0"/>
          <w:numId w:val="1"/>
        </w:numPr>
        <w:spacing w:before="100" w:beforeAutospacing="1" w:after="100" w:afterAutospacing="1"/>
        <w:ind w:left="360"/>
      </w:pPr>
      <w:r w:rsidRPr="004D285E">
        <w:t>Advanced Placement exams from the College Board with scores of 4 or 5.</w:t>
      </w:r>
    </w:p>
    <w:p w14:paraId="61933C24" w14:textId="77777777" w:rsidR="00FD12C6" w:rsidRPr="004D285E" w:rsidRDefault="00FD12C6" w:rsidP="00FD12C6">
      <w:pPr>
        <w:numPr>
          <w:ilvl w:val="0"/>
          <w:numId w:val="1"/>
        </w:numPr>
        <w:spacing w:before="78" w:after="100" w:afterAutospacing="1" w:line="288" w:lineRule="atLeast"/>
        <w:ind w:left="360"/>
      </w:pPr>
      <w:r w:rsidRPr="004D285E">
        <w:t>International Baccalaureate exams with scores of 5, 6, or 7 on the higher-level subject tests.</w:t>
      </w:r>
    </w:p>
    <w:p w14:paraId="687710C2" w14:textId="77777777" w:rsidR="00FD12C6" w:rsidRPr="004D285E" w:rsidRDefault="00FD12C6" w:rsidP="00FD12C6">
      <w:pPr>
        <w:numPr>
          <w:ilvl w:val="0"/>
          <w:numId w:val="1"/>
        </w:numPr>
        <w:spacing w:before="78" w:after="100" w:afterAutospacing="1" w:line="288" w:lineRule="atLeast"/>
        <w:ind w:left="360"/>
      </w:pPr>
      <w:r w:rsidRPr="004D285E">
        <w:t>GCE A-Level exams with a score of A*, A or B.</w:t>
      </w:r>
    </w:p>
    <w:p w14:paraId="3ACAE0F5" w14:textId="77777777" w:rsidR="00FD12C6" w:rsidRPr="004D285E" w:rsidRDefault="00FD12C6" w:rsidP="00FD12C6">
      <w:pPr>
        <w:numPr>
          <w:ilvl w:val="0"/>
          <w:numId w:val="1"/>
        </w:numPr>
        <w:spacing w:before="78" w:after="100" w:afterAutospacing="1" w:line="288" w:lineRule="atLeast"/>
        <w:ind w:left="360"/>
      </w:pPr>
      <w:r w:rsidRPr="004D285E">
        <w:t>CLEP (College-Level Examination Program) credit for scores of 500 for general tests and 50 for subject matter tests, providing the student has not previously completed an introductory college course in the area tested. CLEP credit may be applied to elective credit only.</w:t>
      </w:r>
    </w:p>
    <w:p w14:paraId="1424E1DC" w14:textId="77777777" w:rsidR="00FD12C6" w:rsidRPr="004D285E" w:rsidRDefault="00FD12C6" w:rsidP="00FD12C6">
      <w:pPr>
        <w:numPr>
          <w:ilvl w:val="0"/>
          <w:numId w:val="1"/>
        </w:numPr>
        <w:spacing w:before="78" w:after="100" w:afterAutospacing="1" w:line="288" w:lineRule="atLeast"/>
        <w:ind w:left="360"/>
      </w:pPr>
      <w:r w:rsidRPr="004D285E">
        <w:t>DSST (DANTES Subject Standardized Tests). DSST credit will be given for scores of 400 or above for tests taken since 2008, and 50 and above for tests taken prior to 2008 provided students have not completed an introductory college course in the area tested. DSST credit may be applied to elective credit only.</w:t>
      </w:r>
    </w:p>
    <w:p w14:paraId="65F97A01" w14:textId="77777777" w:rsidR="00FD12C6" w:rsidRPr="004D285E" w:rsidRDefault="00FD12C6" w:rsidP="00FD12C6">
      <w:pPr>
        <w:numPr>
          <w:ilvl w:val="0"/>
          <w:numId w:val="1"/>
        </w:numPr>
        <w:spacing w:before="78" w:after="100" w:afterAutospacing="1"/>
        <w:ind w:left="360"/>
        <w:contextualSpacing/>
      </w:pPr>
      <w:r w:rsidRPr="004D285E">
        <w:t>At the discretion of the nursing department, additional units of Credit by Examination may be validated by departmental examination at Westmont. If a student feels that he or she has sufficient knowledge to pass a comprehensive final examination in a particular Westmont course, and has not earned credit in an advanced course in that area, the student should:</w:t>
      </w:r>
    </w:p>
    <w:p w14:paraId="2ECA6456" w14:textId="77777777" w:rsidR="00FD12C6" w:rsidRPr="004D285E" w:rsidRDefault="00FD12C6" w:rsidP="00FD12C6">
      <w:pPr>
        <w:pStyle w:val="ListParagraph"/>
        <w:numPr>
          <w:ilvl w:val="0"/>
          <w:numId w:val="2"/>
        </w:numPr>
        <w:spacing w:before="100" w:beforeAutospacing="1" w:after="100" w:afterAutospacing="1"/>
        <w:rPr>
          <w:rFonts w:ascii="Times New Roman" w:hAnsi="Times New Roman"/>
        </w:rPr>
      </w:pPr>
      <w:r w:rsidRPr="004D285E">
        <w:rPr>
          <w:rFonts w:ascii="Times New Roman" w:hAnsi="Times New Roman"/>
        </w:rPr>
        <w:t>Contact the faculty member who teaches the class to determine if their background or preparation is sufficient.</w:t>
      </w:r>
    </w:p>
    <w:p w14:paraId="25780744" w14:textId="77777777" w:rsidR="00FD12C6" w:rsidRPr="004D285E" w:rsidRDefault="00FD12C6" w:rsidP="00FD12C6">
      <w:pPr>
        <w:pStyle w:val="ListParagraph"/>
        <w:numPr>
          <w:ilvl w:val="0"/>
          <w:numId w:val="2"/>
        </w:numPr>
        <w:spacing w:before="78" w:after="100" w:afterAutospacing="1"/>
        <w:rPr>
          <w:rFonts w:ascii="Times New Roman" w:hAnsi="Times New Roman"/>
        </w:rPr>
      </w:pPr>
      <w:r w:rsidRPr="004D285E">
        <w:rPr>
          <w:rFonts w:ascii="Times New Roman" w:hAnsi="Times New Roman"/>
        </w:rPr>
        <w:t>Register for the appropriate number of units of credit. Westmont will charge a fee per unit (see Charges in the college catalog).</w:t>
      </w:r>
    </w:p>
    <w:p w14:paraId="08BB953F" w14:textId="77777777" w:rsidR="00FD12C6" w:rsidRPr="004D285E" w:rsidRDefault="00FD12C6" w:rsidP="00FD12C6">
      <w:pPr>
        <w:pStyle w:val="ListParagraph"/>
        <w:numPr>
          <w:ilvl w:val="0"/>
          <w:numId w:val="2"/>
        </w:numPr>
        <w:spacing w:before="78" w:after="100" w:afterAutospacing="1"/>
        <w:rPr>
          <w:rFonts w:ascii="Times New Roman" w:hAnsi="Times New Roman"/>
        </w:rPr>
      </w:pPr>
      <w:r w:rsidRPr="004D285E">
        <w:rPr>
          <w:rFonts w:ascii="Times New Roman" w:hAnsi="Times New Roman"/>
        </w:rPr>
        <w:t xml:space="preserve">Report for the exam, which </w:t>
      </w:r>
      <w:proofErr w:type="gramStart"/>
      <w:r w:rsidRPr="004D285E">
        <w:rPr>
          <w:rFonts w:ascii="Times New Roman" w:hAnsi="Times New Roman"/>
        </w:rPr>
        <w:t>will  be</w:t>
      </w:r>
      <w:proofErr w:type="gramEnd"/>
      <w:r w:rsidRPr="004D285E">
        <w:rPr>
          <w:rFonts w:ascii="Times New Roman" w:hAnsi="Times New Roman"/>
        </w:rPr>
        <w:t xml:space="preserve"> administered by a nursing faculty member in the nursing department.</w:t>
      </w:r>
    </w:p>
    <w:p w14:paraId="1F5947B0" w14:textId="77777777" w:rsidR="00FD12C6" w:rsidRPr="004D285E" w:rsidRDefault="00FD12C6" w:rsidP="00FD12C6">
      <w:pPr>
        <w:pStyle w:val="ListParagraph"/>
        <w:numPr>
          <w:ilvl w:val="0"/>
          <w:numId w:val="2"/>
        </w:numPr>
        <w:spacing w:before="78" w:after="100" w:afterAutospacing="1"/>
        <w:rPr>
          <w:rFonts w:ascii="Times New Roman" w:hAnsi="Times New Roman"/>
        </w:rPr>
      </w:pPr>
      <w:r w:rsidRPr="004D285E">
        <w:rPr>
          <w:rFonts w:ascii="Times New Roman" w:hAnsi="Times New Roman"/>
        </w:rPr>
        <w:t>Grading is by letter grade only and the student must pass the exam with 75% to pass the course.</w:t>
      </w:r>
    </w:p>
    <w:p w14:paraId="3F1FEE73" w14:textId="77777777" w:rsidR="00FD12C6" w:rsidRPr="004D285E" w:rsidRDefault="00FD12C6" w:rsidP="00FD12C6">
      <w:pPr>
        <w:pStyle w:val="ListParagraph"/>
        <w:numPr>
          <w:ilvl w:val="0"/>
          <w:numId w:val="2"/>
        </w:numPr>
        <w:spacing w:before="78" w:after="100" w:afterAutospacing="1"/>
        <w:rPr>
          <w:rFonts w:ascii="Times New Roman" w:hAnsi="Times New Roman"/>
        </w:rPr>
      </w:pPr>
      <w:r w:rsidRPr="004D285E">
        <w:rPr>
          <w:rFonts w:ascii="Times New Roman" w:hAnsi="Times New Roman"/>
        </w:rPr>
        <w:t>A maximum of 20 units may be validated by Credit by Examination at Westmont College. Students may petition for credit beyond this unit maximum.</w:t>
      </w:r>
    </w:p>
    <w:p w14:paraId="600B64D6" w14:textId="77777777" w:rsidR="001C7866" w:rsidRDefault="001C7866"/>
    <w:sectPr w:rsidR="001C7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5E0"/>
    <w:multiLevelType w:val="multilevel"/>
    <w:tmpl w:val="091E1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10247D"/>
    <w:multiLevelType w:val="hybridMultilevel"/>
    <w:tmpl w:val="682E1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C6"/>
    <w:rsid w:val="001C7866"/>
    <w:rsid w:val="00FD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C6A3A"/>
  <w15:chartTrackingRefBased/>
  <w15:docId w15:val="{02221FC5-D876-CF40-B9F3-9ACBDDB9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2C6"/>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FD12C6"/>
    <w:pPr>
      <w:keepNext/>
      <w:keepLines/>
      <w:spacing w:before="4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12C6"/>
    <w:rPr>
      <w:rFonts w:ascii="Times New Roman" w:eastAsiaTheme="majorEastAsia" w:hAnsi="Times New Roman" w:cstheme="majorBidi"/>
      <w:b/>
      <w:color w:val="2F5496" w:themeColor="accent1" w:themeShade="BF"/>
      <w:szCs w:val="26"/>
    </w:rPr>
  </w:style>
  <w:style w:type="paragraph" w:styleId="ListParagraph">
    <w:name w:val="List Paragraph"/>
    <w:basedOn w:val="Normal"/>
    <w:uiPriority w:val="34"/>
    <w:qFormat/>
    <w:rsid w:val="00FD12C6"/>
    <w:pPr>
      <w:ind w:left="720"/>
      <w:contextualSpacing/>
    </w:pPr>
    <w:rPr>
      <w:rFonts w:ascii="Cambria" w:eastAsia="Cambria" w:hAnsi="Cambria"/>
    </w:rPr>
  </w:style>
  <w:style w:type="paragraph" w:styleId="Title">
    <w:name w:val="Title"/>
    <w:basedOn w:val="Normal"/>
    <w:link w:val="TitleChar"/>
    <w:uiPriority w:val="1"/>
    <w:qFormat/>
    <w:rsid w:val="00FD12C6"/>
    <w:pPr>
      <w:pBdr>
        <w:bottom w:val="single" w:sz="48" w:space="22" w:color="4472C4" w:themeColor="accent1"/>
      </w:pBdr>
      <w:spacing w:after="400"/>
      <w:contextualSpacing/>
    </w:pPr>
    <w:rPr>
      <w:rFonts w:asciiTheme="majorHAnsi" w:eastAsiaTheme="majorEastAsia" w:hAnsiTheme="majorHAnsi" w:cstheme="majorBidi"/>
      <w:b/>
      <w:color w:val="50637D" w:themeColor="text2" w:themeTint="E6"/>
      <w:kern w:val="28"/>
      <w:sz w:val="60"/>
      <w:szCs w:val="56"/>
      <w:lang w:eastAsia="ja-JP"/>
    </w:rPr>
  </w:style>
  <w:style w:type="character" w:customStyle="1" w:styleId="TitleChar">
    <w:name w:val="Title Char"/>
    <w:basedOn w:val="DefaultParagraphFont"/>
    <w:link w:val="Title"/>
    <w:uiPriority w:val="1"/>
    <w:rsid w:val="00FD12C6"/>
    <w:rPr>
      <w:rFonts w:asciiTheme="majorHAnsi" w:eastAsiaTheme="majorEastAsia" w:hAnsiTheme="majorHAnsi" w:cstheme="majorBidi"/>
      <w:b/>
      <w:color w:val="50637D" w:themeColor="text2" w:themeTint="E6"/>
      <w:kern w:val="28"/>
      <w:sz w:val="60"/>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2021-09-15T21:44:00Z</dcterms:created>
  <dcterms:modified xsi:type="dcterms:W3CDTF">2021-09-15T21:44:00Z</dcterms:modified>
</cp:coreProperties>
</file>